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66"/>
        <w:ind w:left="0" w:right="0" w:firstLine="0"/>
        <w:jc w:val="center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Analiza stepena nezaposlenosti  </w:t>
      </w:r>
      <w:r/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Nezaposlenost predstavlja ključni socio-ekonomski pokazatelj koji reflektuje zdravlje tržišta rada, dostupnost radnih mesta i ukupnu ekonomsku stabilnost zajednice. Analizom broja nezaposlenih u odnosu na ukupan broj stanovnika u odabranim gradovima i opšt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inama Srbije, moguće je identifikovati regionalne razlike u stepenima nezaposlenosti i ukazati na specifične izazove sa kojima se suočavaju različite sredine.</w:t>
      </w:r>
      <w:r/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Podaci su preuzeti iz dokumenata koje je objavila Nacionalna služba za zapošljavanje. 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/>
    </w:p>
    <w:p>
      <w:pPr>
        <w:pStyle w:val="766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1. Pregled osnovnih podataka</w:t>
      </w:r>
      <w:r/>
    </w:p>
    <w:tbl>
      <w:tblPr>
        <w:tblStyle w:val="794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412"/>
        <w:gridCol w:w="1618"/>
        <w:gridCol w:w="1809"/>
        <w:gridCol w:w="4515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1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Grad/Opština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1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Broj stanovnika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0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Broj nezaposlenih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51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% nezaposlenih u odnosu na ukupan broj stanovnika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1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Novi Pazar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1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106.720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0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22.688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51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21,26%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1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Kraljevo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1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110.196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0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5.694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51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5,17%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1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Čačak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1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105.612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0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3.420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51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3,24%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1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Tutin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1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33.053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0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8.119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51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24,56%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1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Sjenica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1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24.083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0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3.422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51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14,21%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1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Nova Varoš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1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13.507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0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1.177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51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8,71%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1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Prijepolje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1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32.214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0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3.422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51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10,62%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1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Priboj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1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23.514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0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2.922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51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12,43%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1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Raška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1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21.498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0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1.721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51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8,01%</w:t>
            </w:r>
            <w:r/>
          </w:p>
        </w:tc>
      </w:tr>
    </w:tbl>
    <w:p>
      <w:pPr>
        <w:pStyle w:val="766"/>
        <w:contextualSpacing w:val="0"/>
        <w:ind w:left="0" w:right="0" w:firstLine="0"/>
        <w:jc w:val="left"/>
        <w:spacing w:before="0" w:after="0" w:line="283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pStyle w:val="766"/>
        <w:contextualSpacing w:val="0"/>
        <w:ind w:left="0" w:right="0" w:firstLine="0"/>
        <w:jc w:val="center"/>
        <w:spacing w:before="0" w:after="0" w:line="283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814528" cy="3595317"/>
                <wp:effectExtent l="0" t="0" r="0" b="0"/>
                <wp:docPr id="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55620707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 rot="0" flipH="0" flipV="0">
                          <a:off x="0" y="0"/>
                          <a:ext cx="5814528" cy="35953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457.8pt;height:283.1pt;mso-wrap-distance-left:0.0pt;mso-wrap-distance-top:0.0pt;mso-wrap-distance-right:0.0pt;mso-wrap-distance-bottom:0.0pt;rotation:0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pStyle w:val="766"/>
        <w:contextualSpacing w:val="0"/>
        <w:ind w:left="0" w:right="0" w:firstLine="0"/>
        <w:jc w:val="left"/>
        <w:spacing w:before="0" w:after="0" w:line="283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/>
    </w:p>
    <w:p>
      <w:pPr>
        <w:pStyle w:val="766"/>
        <w:contextualSpacing w:val="0"/>
        <w:ind w:left="0" w:right="0" w:firstLine="0"/>
        <w:jc w:val="left"/>
        <w:spacing w:before="0" w:after="0" w:line="283" w:lineRule="atLeas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/>
    </w:p>
    <w:p>
      <w:r/>
      <w:r/>
    </w:p>
    <w:p>
      <w:pPr>
        <w:pStyle w:val="766"/>
        <w:ind w:left="0" w:right="0" w:firstLine="0"/>
        <w:jc w:val="both"/>
        <w:spacing w:before="281" w:after="281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2. Opšti trendovi i ključni izazovi</w:t>
      </w:r>
      <w:r/>
    </w:p>
    <w:p>
      <w:pPr>
        <w:pStyle w:val="768"/>
        <w:ind w:left="0" w:right="0" w:firstLine="0"/>
        <w:jc w:val="both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A) Visok stepen nezaposlenosti u pojedinim opštinama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Tutin (24,56%) i Novi Pazar (21,26%) beleže najviši procenat nezaposlenih u odnosu na broj stanovnika. Ove opštine karakterišu visoke stope nezaposlenosti koje ukazuju na ograničen broj radnih mesta, slabiju razvijenost tržišta rada i moguće oslanjanje sta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novništva na neformalne izvore prihoda ili transfere iz inostranstva.</w:t>
      </w:r>
      <w:r/>
    </w:p>
    <w:p>
      <w:pPr>
        <w:pStyle w:val="768"/>
        <w:ind w:left="0" w:right="0" w:firstLine="0"/>
        <w:jc w:val="both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B) Niži stepen nezaposlenosti u razvijenijim gradovima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Gradovi poput Čačka (3,24%) i Kraljeva (5,17%) beleže značajno niže stope nezaposlenosti, što je posledica razvijenije ekonomske osnove i prisustva industrijskih i uslužnih sektora koji pružaju veći broj prilika za zapošljavanje.</w:t>
      </w:r>
      <w:r/>
    </w:p>
    <w:p>
      <w:pPr>
        <w:pStyle w:val="768"/>
        <w:ind w:left="0" w:right="0" w:firstLine="0"/>
        <w:jc w:val="both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C) Srednji stepen nezaposlenosti u manjim opštinama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Opštine poput Sjenice (14,21%), Prijepolja (10,62%), Priboja (12,43%) i Nove Varoši (8,71%) pokazuju umerene stope nezaposlenosti. Ovo ukazuje na regionalne izazove u obezbeđivanju radnih mesta, ali i na potencijal za razvoj lokalnih ekonomija kroz ciljana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ulaganja.</w:t>
      </w:r>
      <w:r/>
    </w:p>
    <w:p>
      <w:pPr>
        <w:pStyle w:val="768"/>
        <w:ind w:left="0" w:right="0" w:firstLine="0"/>
        <w:jc w:val="both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D) Razlike u regionalnom razvoju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Podaci ukazuju na značajne razlike u stepenu nezaposlenosti između većih urbanih centara (Čačak, Kraljevo) i ruralnijih opština (Tutin, Sjenica). Ove razlike odražavaju neujednačen razvoj, dostupnost radnih mesta i migracione tokove.</w:t>
      </w:r>
      <w:r/>
    </w:p>
    <w:p>
      <w:pPr>
        <w:pStyle w:val="766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3. Zašto je analiza nezaposlenosti važna?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Nezaposlenost utiče ne samo na ekonomski razvoj već i na socijalnu stabilnost zajednica. Visok stepen nezaposlenosti često je povezan sa:</w:t>
      </w:r>
      <w:r/>
    </w:p>
    <w:p>
      <w:pPr>
        <w:pStyle w:val="942"/>
        <w:numPr>
          <w:ilvl w:val="0"/>
          <w:numId w:val="1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Migracijama: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Stanovništvo, posebno mladi, napušta opštine sa visokim stepenom nezaposlenosti u potrazi za boljim prilikama.</w:t>
      </w:r>
      <w:r/>
    </w:p>
    <w:p>
      <w:pPr>
        <w:pStyle w:val="942"/>
        <w:numPr>
          <w:ilvl w:val="0"/>
          <w:numId w:val="2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Siromaštvom: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Ograničen pristup formalnim radnim mestima povećava rizik od siromaštva i oslanjanje na neformalne izvore prihoda.</w:t>
      </w:r>
      <w:r/>
    </w:p>
    <w:p>
      <w:pPr>
        <w:pStyle w:val="942"/>
        <w:numPr>
          <w:ilvl w:val="0"/>
          <w:numId w:val="3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Socijalnom nestabilnošću: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Nedostatak radnih mesta može izazvati frustraciju među stanovništvom i smanjiti poverenje u institucije.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Cilj ove analize je identifikacija opština i gradova sa najvećim izazovima u pogledu zapošljavanja, kako bi se predložile politike za podsticanje zapošljavanja i ravnomerniji regionalni razvoj.</w:t>
      </w:r>
      <w:r/>
    </w:p>
    <w:p>
      <w:pPr>
        <w:pStyle w:val="766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4. Razlozi za odvojeno posmatranje gradova i opština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Gradovi Novi Pazar, Kraljevo i Čačak analiziraju se zasebno od manjih opština (Tutin, Sjenica, Nova Varoš, Prijepolje, Priboj i Raška) zbog značajnih razlika u njihovim socio-ekonomskim i demografskim karakteristikama:</w:t>
      </w:r>
      <w:r/>
    </w:p>
    <w:p>
      <w:pPr>
        <w:pStyle w:val="942"/>
        <w:numPr>
          <w:ilvl w:val="0"/>
          <w:numId w:val="61"/>
        </w:numPr>
        <w:ind w:right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Veličina i struktura ekonomije: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Veći gradovi imaju razvijeniju infrastrukturu i raznovrsnije privredne aktivnosti, što rezultira nižim stopama nezaposlenosti i većim brojem radnih mesta.</w:t>
      </w:r>
      <w:r/>
    </w:p>
    <w:p>
      <w:pPr>
        <w:pStyle w:val="942"/>
        <w:numPr>
          <w:ilvl w:val="0"/>
          <w:numId w:val="61"/>
        </w:numPr>
        <w:ind w:right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Migracije i demografija: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Manje opštine se suočavaju sa izraženim migracijama i smanjenjem radno sposobnog stanovništva, što povećava udeo nezaposlenih.</w:t>
      </w:r>
      <w:r/>
    </w:p>
    <w:p>
      <w:pPr>
        <w:pStyle w:val="942"/>
        <w:numPr>
          <w:ilvl w:val="0"/>
          <w:numId w:val="61"/>
        </w:numPr>
        <w:ind w:right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Pristup resursima: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Veći gradovi imaju bolji pristup investicijama, obrazovnim institucijama i tržištima rada, dok manje opštine zavise od specifičnih lokalnih sektora, poput poljoprivrede ili industrije.</w:t>
      </w:r>
      <w:r/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Ova uvodna analiza naglašava značaj razmatranja nezaposlenosti kao ključnog indikatora socio-ekonomskih prilika i izazova u Srbiji. Dalje istraživanje će se fokusirati na specifične gradove i opštine, identifikaciju uzroka visokih stopa nezaposlenosti i pr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edlaganje mera za unapređenje lokalnih ekonomija. Razlike između gradova i manjih opština pružaju osnovu za prilagođavanje regionalnih politika zapošljavanja i ravnomerniji razvoj.</w:t>
      </w:r>
      <w:r/>
    </w:p>
    <w:p>
      <w:pPr>
        <w:shd w:val="nil" w:color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br w:type="page" w:clear="all"/>
      </w:r>
      <w:r>
        <w:rPr>
          <w:rFonts w:ascii="Times New Roman" w:hAnsi="Times New Roman" w:eastAsia="Times New Roman" w:cs="Times New Roman"/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/>
    </w:p>
    <w:p>
      <w:pPr>
        <w:pStyle w:val="766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I Analiza nezaposlenosti i zaposlenosti u gradovima Novi Pazar, Kraljevo i Čačak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Ova analiza obuhvata broj nezaposlenih, zaposlenih, i ukupni broj stanovnika u gradovima Novi Pazar, Kraljevo i Čačak. Kroz poređenje sa prethodnim podacima o broju lica koja obavljaju delatnost i opštim trendovima kretanja stanovništva, izlažu se ključni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zaključci i trendovi.</w:t>
      </w:r>
      <w:r/>
    </w:p>
    <w:p>
      <w:pPr>
        <w:pStyle w:val="766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1. Pregled ključnih podataka</w:t>
      </w:r>
      <w:r/>
    </w:p>
    <w:tbl>
      <w:tblPr>
        <w:tblStyle w:val="794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032"/>
        <w:gridCol w:w="1493"/>
        <w:gridCol w:w="1453"/>
        <w:gridCol w:w="1670"/>
        <w:gridCol w:w="3706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3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Grad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9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Broj stanovnika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5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Broj zaposlenih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7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Broj nezaposlenih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70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% nezaposlenih u odnosu na stanovnike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3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Novi Pazar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9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106.720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5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19.985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7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22.688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70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21,26%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3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Kraljevo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9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110.196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5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39.518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7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5.694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70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5,17%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3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Čačak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9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105.612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5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39.939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7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3.420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70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3,24%</w:t>
            </w:r>
            <w:r/>
          </w:p>
        </w:tc>
      </w:tr>
    </w:tbl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jc w:val="center"/>
        <w:rPr>
          <w:highlight w:val="none"/>
        </w:rPr>
      </w:pPr>
      <w:r>
        <w:rPr>
          <w:highlight w:val="none"/>
        </w:rPr>
      </w:r>
      <w:r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312115" cy="3284657"/>
                <wp:effectExtent l="0" t="0" r="0" b="0"/>
                <wp:docPr id="4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35184499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 flipH="0" flipV="0">
                          <a:off x="0" y="0"/>
                          <a:ext cx="5312115" cy="32846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418.3pt;height:258.6pt;mso-wrap-distance-left:0.0pt;mso-wrap-distance-top:0.0pt;mso-wrap-distance-right:0.0pt;mso-wrap-distance-bottom:0.0pt;" stroked="false">
                <v:path textboxrect="0,0,0,0"/>
                <v:imagedata r:id="rId12" o:title=""/>
              </v:shape>
            </w:pict>
          </mc:Fallback>
        </mc:AlternateContent>
      </w:r>
      <w:r/>
      <w:r>
        <w:rPr>
          <w:highlight w:val="none"/>
        </w:rPr>
      </w:r>
      <w:r/>
    </w:p>
    <w:p>
      <w:pPr>
        <w:jc w:val="both"/>
        <w:rPr>
          <w:b/>
          <w:bCs/>
          <w:highlight w:val="none"/>
        </w:rPr>
      </w:pPr>
      <w:r>
        <w:rPr>
          <w:b/>
          <w:bCs/>
          <w:highlight w:val="none"/>
        </w:rPr>
      </w:r>
      <w:r>
        <w:rPr>
          <w:b/>
          <w:bCs/>
          <w:highlight w:val="none"/>
        </w:rPr>
        <w:t xml:space="preserve">Slika nezaposlenosti je takva da je udeo nezaposlenih u ukupnom broju stanovika u Novom Pazaru šest puta veći u odnosu na Čačak i 4 puta veći u odnosu na Kraljevo, koji su najbliži a po broju stanovnika skoro podjednaki gradovi. </w:t>
      </w:r>
      <w:r>
        <w:rPr>
          <w:b/>
          <w:bCs/>
        </w:rPr>
      </w:r>
      <w:r/>
      <w:r>
        <w:rPr>
          <w:highlight w:val="none"/>
        </w:rPr>
      </w:r>
      <w:r/>
      <w:r>
        <w:rPr>
          <w:b/>
          <w:bCs/>
          <w:highlight w:val="none"/>
        </w:rPr>
      </w:r>
    </w:p>
    <w:p>
      <w:pPr>
        <w:jc w:val="both"/>
        <w:rPr>
          <w:b/>
          <w:bCs/>
          <w:highlight w:val="none"/>
        </w:rPr>
      </w:pP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766"/>
        <w:ind w:left="0" w:right="0" w:firstLine="0"/>
        <w:jc w:val="both"/>
        <w:spacing w:before="281" w:after="281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2. Udeo nezaposlenih u odnosu na radno sposobno stanovništvo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Broj nezaposlenih se može uporediti sa brojem zaposlenih kako bi se procenio potencijal za povećanje zaposlenosti i odnos između aktivne radne snage i stanovništva van tržišta rada.</w:t>
      </w:r>
      <w:r/>
    </w:p>
    <w:tbl>
      <w:tblPr>
        <w:tblStyle w:val="794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140"/>
        <w:gridCol w:w="2445"/>
        <w:gridCol w:w="1845"/>
        <w:gridCol w:w="3915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4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Grad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4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Zaposleni + nezaposleni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Broj nezaposlenih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91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Udeo nezaposlenih u radnoj snazi (%)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4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Novi Pazar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4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42.673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22.688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91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53,18%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4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Kraljevo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4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45.212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5.694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91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12,60%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4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Čačak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4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43.359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3.420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91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7,89%</w:t>
            </w:r>
            <w:r/>
          </w:p>
        </w:tc>
      </w:tr>
    </w:tbl>
    <w:p>
      <w:pPr>
        <w:pStyle w:val="766"/>
        <w:contextualSpacing w:val="0"/>
        <w:ind w:left="0" w:right="0" w:firstLine="0"/>
        <w:jc w:val="both"/>
        <w:spacing w:before="0" w:after="0" w:line="283" w:lineRule="atLeast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r>
    </w:p>
    <w:p>
      <w:pPr>
        <w:pStyle w:val="766"/>
        <w:contextualSpacing w:val="0"/>
        <w:ind w:left="0" w:right="0" w:firstLine="0"/>
        <w:jc w:val="center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264490" cy="3255210"/>
                <wp:effectExtent l="0" t="0" r="0" b="0"/>
                <wp:docPr id="5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9196161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 flipH="0" flipV="0">
                          <a:off x="0" y="0"/>
                          <a:ext cx="5264489" cy="32552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414.5pt;height:256.3pt;mso-wrap-distance-left:0.0pt;mso-wrap-distance-top:0.0pt;mso-wrap-distance-right:0.0pt;mso-wrap-distance-bottom:0.0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pStyle w:val="766"/>
        <w:contextualSpacing w:val="0"/>
        <w:ind w:left="0" w:right="0" w:firstLine="0"/>
        <w:jc w:val="left"/>
        <w:spacing w:before="0" w:after="0" w:line="283" w:lineRule="atLeas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/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3.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r>
      <w:r/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Analiza za svaki grad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r>
      <w:r/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pStyle w:val="768"/>
        <w:contextualSpacing w:val="0"/>
        <w:ind w:left="0" w:right="0" w:firstLine="0"/>
        <w:jc w:val="both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</w:p>
    <w:p>
      <w:pPr>
        <w:pStyle w:val="768"/>
        <w:contextualSpacing w:val="0"/>
        <w:ind w:left="0" w:right="0" w:firstLine="0"/>
        <w:jc w:val="both"/>
        <w:spacing w:before="0" w:after="0" w:line="283" w:lineRule="atLeast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A) Novi Pazar</w:t>
      </w:r>
      <w:r/>
    </w:p>
    <w:p>
      <w:pPr>
        <w:pStyle w:val="942"/>
        <w:numPr>
          <w:ilvl w:val="0"/>
          <w:numId w:val="7"/>
        </w:numPr>
        <w:contextualSpacing w:val="0"/>
        <w:ind w:right="0"/>
        <w:jc w:val="both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Visok stepen nezaposlenosti: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U Novom Pazaru, 21,26% stanovništva je nezaposleno, a nezaposleni čine 53,18% ukupne radne snage (zaposleni + nezaposleni). Ovo ukazuje na značajan izazov u zapošljavanju i apsorpciji radne snage.</w:t>
      </w:r>
      <w:r/>
    </w:p>
    <w:p>
      <w:pPr>
        <w:pStyle w:val="942"/>
        <w:numPr>
          <w:ilvl w:val="0"/>
          <w:numId w:val="8"/>
        </w:numPr>
        <w:contextualSpacing w:val="0"/>
        <w:ind w:right="0"/>
        <w:jc w:val="both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Trendovi stanovništva: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Novi Pazar beleži konstantan rast broja stanovnika, sa 74.000 (1981) na 106.720 (2022), što je povećanje od 44,3%. Porast populacije vrši dodatni pritisak na tržište rada, dok se broj zaposlenih (19.985) ne povećava dovoljno brzo da apsorbuje rastuću radnu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snagu.</w:t>
      </w:r>
      <w:r/>
    </w:p>
    <w:p>
      <w:pPr>
        <w:pStyle w:val="942"/>
        <w:numPr>
          <w:ilvl w:val="0"/>
          <w:numId w:val="9"/>
        </w:numPr>
        <w:contextualSpacing w:val="0"/>
        <w:ind w:right="0"/>
        <w:jc w:val="both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Zaključak: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Novi Pazar ima strukturalne izazove sa visokim nivoom nezaposlenosti, što je posledica nedovoljnog razvoja formalne ekonomije i ograničenog broja novih radnih mesta.</w:t>
      </w:r>
      <w:r/>
    </w:p>
    <w:p>
      <w:pPr>
        <w:pStyle w:val="768"/>
        <w:contextualSpacing w:val="0"/>
        <w:ind w:left="0" w:right="0" w:firstLine="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  <w:r/>
    </w:p>
    <w:p>
      <w:pPr>
        <w:pStyle w:val="768"/>
        <w:contextualSpacing w:val="0"/>
        <w:ind w:left="0" w:right="0" w:firstLine="0"/>
        <w:jc w:val="both"/>
        <w:spacing w:before="0" w:after="0" w:line="283" w:lineRule="atLeast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B) Kraljevo</w:t>
      </w:r>
      <w:r/>
    </w:p>
    <w:p>
      <w:pPr>
        <w:pStyle w:val="942"/>
        <w:numPr>
          <w:ilvl w:val="0"/>
          <w:numId w:val="10"/>
        </w:numPr>
        <w:contextualSpacing w:val="0"/>
        <w:ind w:right="0"/>
        <w:jc w:val="both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Umeren stepen nezaposlenosti: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Sa 5,17% nezaposlenih u odnosu na broj stanovnika, Kraljevo ima znatno bolju poziciju u poređenju sa Novim Pazarom. Udeo nezaposlenih u ukupnoj radnoj snazi iznosi 12,60%, što ukazuje na stabilniju ekonomsku osnovu.</w:t>
      </w:r>
      <w:r/>
    </w:p>
    <w:p>
      <w:pPr>
        <w:pStyle w:val="942"/>
        <w:numPr>
          <w:ilvl w:val="0"/>
          <w:numId w:val="11"/>
        </w:numPr>
        <w:contextualSpacing w:val="0"/>
        <w:ind w:right="0"/>
        <w:jc w:val="both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Trendovi stanovništva: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Broj stanovnika u Kraljevu porastao je sa 121.622 (1981) na 110.196 (2022), što predstavlja pad od 9,4%. Ovaj pad ukazuje na migracije i smanjenje prirodnog priraštaja, što smanjuje pritisak na tržište rada.</w:t>
      </w:r>
      <w:r/>
    </w:p>
    <w:p>
      <w:pPr>
        <w:pStyle w:val="942"/>
        <w:numPr>
          <w:ilvl w:val="0"/>
          <w:numId w:val="12"/>
        </w:numPr>
        <w:contextualSpacing w:val="0"/>
        <w:ind w:right="0"/>
        <w:jc w:val="both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Zaključak: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Kraljevo ima razvijeno tržište rada koje može da apsorbuje većinu radno sposobnog stanovništva, ali je potrebno raditi na povećanju prilika za zapošljavanje kako bi se ublažio odliv stanovništva.</w:t>
      </w:r>
      <w:r/>
    </w:p>
    <w:p>
      <w:pPr>
        <w:pStyle w:val="768"/>
        <w:contextualSpacing w:val="0"/>
        <w:ind w:left="0" w:right="0" w:firstLine="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  <w:r/>
    </w:p>
    <w:p>
      <w:pPr>
        <w:pStyle w:val="768"/>
        <w:contextualSpacing w:val="0"/>
        <w:ind w:left="0" w:right="0" w:firstLine="0"/>
        <w:jc w:val="both"/>
        <w:spacing w:before="0" w:after="0" w:line="283" w:lineRule="atLeast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C) Čačak</w:t>
      </w:r>
      <w:r/>
    </w:p>
    <w:p>
      <w:pPr>
        <w:pStyle w:val="942"/>
        <w:numPr>
          <w:ilvl w:val="0"/>
          <w:numId w:val="13"/>
        </w:numPr>
        <w:contextualSpacing w:val="0"/>
        <w:ind w:right="0"/>
        <w:jc w:val="both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Najniži stepen nezaposlenosti: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Čačak beleži najniži procenat nezaposlenih među analiziranim gradovima – 3,24% u odnosu na broj stanovnika i samo 7,89% u ukupnoj radnoj snazi. Ovo ukazuje na relativno razvijeno tržište rada i visok nivo zaposlenosti.</w:t>
      </w:r>
      <w:r/>
    </w:p>
    <w:p>
      <w:pPr>
        <w:pStyle w:val="942"/>
        <w:numPr>
          <w:ilvl w:val="0"/>
          <w:numId w:val="14"/>
        </w:numPr>
        <w:contextualSpacing w:val="0"/>
        <w:ind w:right="0"/>
        <w:jc w:val="both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Trendovi stanovništva: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Broj stanovnika u Čačku opao je sa 110.801 (1981) na 105.612 (2022), što je smanjenje od 4,7%. Ovaj pad je manje izražen nego u Kraljevu, ali ukazuje na slične migracione tokove i smanjenje priraštaja.</w:t>
      </w:r>
      <w:r/>
    </w:p>
    <w:p>
      <w:pPr>
        <w:pStyle w:val="942"/>
        <w:numPr>
          <w:ilvl w:val="0"/>
          <w:numId w:val="15"/>
        </w:numPr>
        <w:contextualSpacing w:val="0"/>
        <w:ind w:right="0"/>
        <w:jc w:val="both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Zaključak: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Čačak ima razvijeno tržište rada i visok nivo zaposlenosti, ali je potrebno nastaviti s politikama zadržavanja stanovništva i privlačenja novih investicija.</w:t>
      </w:r>
      <w:r/>
    </w:p>
    <w:p>
      <w:pPr>
        <w:pStyle w:val="766"/>
        <w:contextualSpacing w:val="0"/>
        <w:ind w:left="0" w:right="0" w:firstLine="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pStyle w:val="766"/>
        <w:contextualSpacing w:val="0"/>
        <w:ind w:left="0" w:right="0" w:firstLine="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/>
    </w:p>
    <w:p>
      <w:pPr>
        <w:pStyle w:val="766"/>
        <w:contextualSpacing w:val="0"/>
        <w:ind w:left="0" w:right="0" w:firstLine="0"/>
        <w:jc w:val="both"/>
        <w:spacing w:before="0" w:after="0" w:line="283" w:lineRule="atLeas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4. Opšti trendovi i izazovi</w:t>
      </w:r>
      <w:r/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/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contextualSpacing w:val="0"/>
        <w:ind w:left="709" w:right="0" w:firstLine="0"/>
        <w:jc w:val="both"/>
        <w:spacing w:before="0" w:after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Razlike u nivou nezaposlenosti: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Novi Pazar se suočava sa najvišim stepenom nezaposlenosti (21,26%) i najvećim udelom nezaposlenih u radnoj snazi (53,18%). S druge strane, Čačak i Kraljevo beleže niže stope nezaposlenosti, što odražava bolje razvijenu ekonomsku osnovu.</w:t>
      </w:r>
      <w:r/>
    </w:p>
    <w:p>
      <w:pPr>
        <w:contextualSpacing w:val="0"/>
        <w:ind w:left="709" w:right="0" w:firstLine="0"/>
        <w:jc w:val="both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Uticaj demografskih trendova:</w:t>
      </w:r>
      <w:r/>
    </w:p>
    <w:p>
      <w:pPr>
        <w:pStyle w:val="942"/>
        <w:numPr>
          <w:ilvl w:val="0"/>
          <w:numId w:val="18"/>
        </w:numPr>
        <w:contextualSpacing w:val="0"/>
        <w:ind w:right="0"/>
        <w:jc w:val="both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Novi Pazar beleži konstantan porast broja stanovnika, što povećava pritisak na tržište rada.</w:t>
      </w:r>
      <w:r/>
    </w:p>
    <w:p>
      <w:pPr>
        <w:pStyle w:val="942"/>
        <w:numPr>
          <w:ilvl w:val="0"/>
          <w:numId w:val="19"/>
        </w:numPr>
        <w:contextualSpacing w:val="0"/>
        <w:ind w:right="0"/>
        <w:jc w:val="both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Kraljevo i Čačak beleže pad broja stanovnika, što smanjuje pritisak na zapošljavanje, ali i ukazuje na problem odliva radno sposobnog stanovništva.</w:t>
      </w:r>
      <w:r/>
    </w:p>
    <w:p>
      <w:pPr>
        <w:contextualSpacing w:val="0"/>
        <w:ind w:left="709" w:right="0" w:firstLine="0"/>
        <w:jc w:val="both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Struktura radne snage: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Novi Pazar ima veći broj nezaposlenih nego zaposlenih, što ukazuje na nedovoljnu razvijenost lokalne ekonomije. Čačak i Kraljevo imaju razvijenije sektore zapošljavanja i niži udeo nezaposlenih u radnoj snazi.</w:t>
      </w:r>
      <w:r/>
    </w:p>
    <w:p>
      <w:pPr>
        <w:pStyle w:val="766"/>
        <w:contextualSpacing w:val="0"/>
        <w:ind w:left="0" w:right="0" w:firstLine="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/>
    </w:p>
    <w:p>
      <w:pPr>
        <w:pStyle w:val="766"/>
        <w:contextualSpacing w:val="0"/>
        <w:ind w:left="0" w:right="0" w:firstLine="0"/>
        <w:jc w:val="both"/>
        <w:spacing w:before="0" w:after="0" w:line="283" w:lineRule="atLeas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5. Preporuke za unapređenje</w:t>
      </w:r>
      <w:r/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  <w:r/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contextualSpacing w:val="0"/>
        <w:ind w:left="709" w:right="0" w:firstLine="0"/>
        <w:jc w:val="both"/>
        <w:spacing w:before="0" w:after="0" w:line="283" w:lineRule="atLeast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Novi Pazar:</w:t>
      </w:r>
      <w:r/>
    </w:p>
    <w:p>
      <w:pPr>
        <w:pStyle w:val="942"/>
        <w:numPr>
          <w:ilvl w:val="0"/>
          <w:numId w:val="22"/>
        </w:numPr>
        <w:contextualSpacing w:val="0"/>
        <w:ind w:right="0"/>
        <w:jc w:val="both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Razvoj lokalne ekonomije: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Privući investicije u proizvodne i uslužne sektore.</w:t>
      </w:r>
      <w:r/>
    </w:p>
    <w:p>
      <w:pPr>
        <w:pStyle w:val="942"/>
        <w:numPr>
          <w:ilvl w:val="0"/>
          <w:numId w:val="23"/>
        </w:numPr>
        <w:contextualSpacing w:val="0"/>
        <w:ind w:right="0"/>
        <w:jc w:val="both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Formalizacija rada: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Podsticati prelazak iz neformalne u formalnu ekonomiju.</w:t>
      </w:r>
      <w:r/>
    </w:p>
    <w:p>
      <w:pPr>
        <w:pStyle w:val="942"/>
        <w:numPr>
          <w:ilvl w:val="0"/>
          <w:numId w:val="24"/>
        </w:numPr>
        <w:contextualSpacing w:val="0"/>
        <w:ind w:right="0"/>
        <w:jc w:val="both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Podrška zapošljavanju mladih: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Ciljane obuke i programi zapošljavanja za mlade.</w:t>
      </w:r>
      <w:r/>
    </w:p>
    <w:p>
      <w:pPr>
        <w:contextualSpacing w:val="0"/>
        <w:ind w:left="709" w:right="0" w:firstLine="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  <w:r/>
    </w:p>
    <w:p>
      <w:pPr>
        <w:contextualSpacing w:val="0"/>
        <w:ind w:left="709" w:right="0" w:firstLine="0"/>
        <w:jc w:val="both"/>
        <w:spacing w:before="0" w:after="0" w:line="283" w:lineRule="atLeast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Kraljevo:</w:t>
      </w:r>
      <w:r/>
    </w:p>
    <w:p>
      <w:pPr>
        <w:pStyle w:val="942"/>
        <w:numPr>
          <w:ilvl w:val="0"/>
          <w:numId w:val="26"/>
        </w:numPr>
        <w:contextualSpacing w:val="0"/>
        <w:ind w:right="0"/>
        <w:jc w:val="both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Privlačenje investicija: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Fokusirati se na sektore sa visokim rastom, poput IT industrije i logistike.</w:t>
      </w:r>
      <w:r/>
    </w:p>
    <w:p>
      <w:pPr>
        <w:pStyle w:val="942"/>
        <w:numPr>
          <w:ilvl w:val="0"/>
          <w:numId w:val="27"/>
        </w:numPr>
        <w:contextualSpacing w:val="0"/>
        <w:ind w:right="0"/>
        <w:jc w:val="both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Zadržavanje stanovništva: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Poboljšati uslove rada i života kako bi se smanjile migracije.</w:t>
      </w:r>
      <w:r/>
    </w:p>
    <w:p>
      <w:pPr>
        <w:contextualSpacing w:val="0"/>
        <w:ind w:left="709" w:right="0" w:firstLine="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  <w:r/>
    </w:p>
    <w:p>
      <w:pPr>
        <w:contextualSpacing w:val="0"/>
        <w:ind w:left="709" w:right="0" w:firstLine="0"/>
        <w:jc w:val="both"/>
        <w:spacing w:before="0" w:after="0" w:line="283" w:lineRule="atLeast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Čačak:</w:t>
      </w:r>
      <w:r/>
    </w:p>
    <w:p>
      <w:pPr>
        <w:pStyle w:val="942"/>
        <w:numPr>
          <w:ilvl w:val="0"/>
          <w:numId w:val="29"/>
        </w:numPr>
        <w:contextualSpacing w:val="0"/>
        <w:ind w:right="0"/>
        <w:jc w:val="both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Održavanje postojećih trendova: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Nastaviti s investicijama u lokalnu infrastrukturu i obrazovanje.</w:t>
      </w:r>
      <w:r/>
    </w:p>
    <w:p>
      <w:pPr>
        <w:pStyle w:val="942"/>
        <w:numPr>
          <w:ilvl w:val="0"/>
          <w:numId w:val="30"/>
        </w:numPr>
        <w:contextualSpacing w:val="0"/>
        <w:ind w:right="0"/>
        <w:jc w:val="both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Podrška inovacijama: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Razvijati visokotehnološke sektore kako bi se dodatno unapredila zaposlenost.</w:t>
      </w:r>
      <w:r/>
    </w:p>
    <w:p>
      <w:pPr>
        <w:pStyle w:val="766"/>
        <w:contextualSpacing w:val="0"/>
        <w:ind w:left="0" w:right="0" w:firstLine="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/>
    </w:p>
    <w:p>
      <w:pPr>
        <w:pStyle w:val="766"/>
        <w:contextualSpacing w:val="0"/>
        <w:ind w:left="0" w:right="0" w:firstLine="0"/>
        <w:jc w:val="both"/>
        <w:spacing w:before="0" w:after="0" w:line="283" w:lineRule="atLeas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Zaključak</w:t>
      </w:r>
      <w:r/>
    </w:p>
    <w:p>
      <w:pPr>
        <w:contextualSpacing w:val="0"/>
        <w:ind w:left="0" w:right="0" w:firstLine="0"/>
        <w:jc w:val="both"/>
        <w:spacing w:before="0" w:after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/>
    </w:p>
    <w:p>
      <w:pPr>
        <w:contextualSpacing w:val="0"/>
        <w:ind w:left="0" w:right="0" w:firstLine="0"/>
        <w:jc w:val="both"/>
        <w:spacing w:before="0" w:after="0" w:line="283" w:lineRule="atLeas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Gradovi Novi Pazar, Kraljevo i Čačak pokazuju značajne razlike u nivou nezaposlenosti i stanju 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tržišta rada. Dok Novi Pazar ima izražene izazove u zapošljavanju i visok nivo nezaposlenosti, Kraljevo i Čačak pokazuju stabilnije ekonomske trendove, ali se su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očavaju sa problemom demografskog opadanja. Ove razlike ukazuju na potrebu za ciljanom regionalnom politikom zapošljavanja koja bi uzela u obzir specifične izazove svakog grada.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/>
    </w:p>
    <w:p>
      <w:pPr>
        <w:contextualSpacing w:val="0"/>
        <w:ind w:left="0" w:right="0" w:firstLine="0"/>
        <w:jc w:val="both"/>
        <w:spacing w:before="0" w:after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766"/>
        <w:ind w:left="0" w:right="0" w:firstLine="0"/>
        <w:jc w:val="both"/>
        <w:spacing w:before="281" w:after="281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II Analiza nezaposlenosti i zaposlenosti u opštinama Tutin, Sjenica, Nova Varoš, Priboj, Prijepolje i Raška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Ova analiza obuhvata broj nezaposlenih, zaposlenih i ukupni broj stanovnika u opštinama Tutin, Sjenica, Nova Varoš, Priboj, Prijepolje i Raška. Kroz poređenje sa prethodnim podacima o broju lica koja obavljaju delatnost i opštim trendovima kretanja stanovn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ištva, identifikuju se ključni zaključci i trendovi.</w:t>
      </w:r>
      <w:r/>
    </w:p>
    <w:p>
      <w:pPr>
        <w:pStyle w:val="766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1. Pregled ključnih podataka</w:t>
      </w:r>
      <w:r/>
    </w:p>
    <w:tbl>
      <w:tblPr>
        <w:tblStyle w:val="794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068"/>
        <w:gridCol w:w="1487"/>
        <w:gridCol w:w="1446"/>
        <w:gridCol w:w="1663"/>
        <w:gridCol w:w="3690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6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Opština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8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Broj stanovnika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4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Broj zaposlenih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6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Broj nezaposlenih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6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% nezaposlenih u odnosu na ukupan stanovnika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6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Tutin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8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33.053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4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4.194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6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8.119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6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24,56%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6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Sjenica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8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24.083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4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4.922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6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3.422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6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14,21%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6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Nova Varoš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8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13.507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4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3.688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6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1.177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6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8,71%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6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Priboj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8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23.514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4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6.396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6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2.922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6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12,43%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6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Prijepolje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8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32.214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4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8.636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6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3.422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6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10,62%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6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Raška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8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21.498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4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7.109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6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1.721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6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8,01%</w:t>
            </w:r>
            <w:r/>
          </w:p>
        </w:tc>
      </w:tr>
    </w:tbl>
    <w:p>
      <w:pPr>
        <w:contextualSpacing w:val="0"/>
        <w:jc w:val="left"/>
        <w:spacing w:before="0" w:after="0" w:line="283" w:lineRule="atLeast"/>
        <w:rPr>
          <w:sz w:val="24"/>
          <w:szCs w:val="24"/>
          <w:highlight w:val="none"/>
        </w:rPr>
        <w:suppressLineNumbers w:val="0"/>
      </w:pPr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contextualSpacing w:val="0"/>
        <w:jc w:val="center"/>
        <w:spacing w:before="0" w:after="0" w:line="283" w:lineRule="atLeast"/>
        <w:rPr>
          <w:sz w:val="24"/>
          <w:szCs w:val="24"/>
          <w:highlight w:val="none"/>
        </w:rPr>
        <w:suppressLineNumbers w:val="0"/>
      </w:pPr>
      <w:r>
        <w:rPr>
          <w:sz w:val="24"/>
          <w:szCs w:val="24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883490" cy="3019624"/>
                <wp:effectExtent l="0" t="0" r="0" b="0"/>
                <wp:docPr id="6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8746816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 flipH="0" flipV="0">
                          <a:off x="0" y="0"/>
                          <a:ext cx="4883490" cy="30196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384.5pt;height:237.8pt;mso-wrap-distance-left:0.0pt;mso-wrap-distance-top:0.0pt;mso-wrap-distance-right:0.0pt;mso-wrap-distance-bottom:0.0pt;" stroked="false">
                <v:path textboxrect="0,0,0,0"/>
                <v:imagedata r:id="rId14" o:title=""/>
              </v:shape>
            </w:pict>
          </mc:Fallback>
        </mc:AlternateContent>
      </w:r>
      <w:r>
        <w:rPr>
          <w:sz w:val="24"/>
          <w:szCs w:val="24"/>
          <w:highlight w:val="none"/>
        </w:rPr>
      </w:r>
      <w:r/>
      <w:r>
        <w:rPr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none"/>
        </w:rPr>
      </w:r>
      <w:r/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</w:p>
    <w:p>
      <w:pPr>
        <w:pStyle w:val="766"/>
        <w:ind w:left="0" w:right="0" w:firstLine="0"/>
        <w:jc w:val="both"/>
        <w:spacing w:before="281" w:after="281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2. Udeo nezaposlenih u odnosu na radno sposobno stanovništvo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Broj nezaposlenih se može uporediti sa brojem zaposlenih kako bi se procenio potencijal za povećanje zaposlenosti i identifikovale razlike među opštinama.</w:t>
      </w:r>
      <w:r/>
    </w:p>
    <w:tbl>
      <w:tblPr>
        <w:tblStyle w:val="794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180"/>
        <w:gridCol w:w="2436"/>
        <w:gridCol w:w="1838"/>
        <w:gridCol w:w="3900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8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Opština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Zaposleni + nezaposleni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3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Broj nezaposlenih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9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Udeo nezaposlenih u radnoj snazi (%)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8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Tutin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12.313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3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8.119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9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65,95%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8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Sjenica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8.344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3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3.422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9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41,01%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8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Nova Varoš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4.865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3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1.177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9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24,19%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8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Priboj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9.318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3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2.922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9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31,35%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8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Prijepolje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12.058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3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3.422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9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28,39%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8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Raška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8.830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3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1.721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9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19,49%</w:t>
            </w:r>
            <w:r/>
          </w:p>
        </w:tc>
      </w:tr>
    </w:tbl>
    <w:p>
      <w:pPr>
        <w:pStyle w:val="766"/>
        <w:contextualSpacing w:val="0"/>
        <w:ind w:left="0" w:right="0" w:firstLine="0"/>
        <w:jc w:val="both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/>
      <w:r/>
    </w:p>
    <w:p>
      <w:pPr>
        <w:pStyle w:val="766"/>
        <w:contextualSpacing w:val="0"/>
        <w:ind w:left="0" w:right="0" w:firstLine="0"/>
        <w:jc w:val="center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550240" cy="3431898"/>
                <wp:effectExtent l="0" t="0" r="0" b="0"/>
                <wp:docPr id="7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27138337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 flipH="0" flipV="0">
                          <a:off x="0" y="0"/>
                          <a:ext cx="5550239" cy="34318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437.0pt;height:270.2pt;mso-wrap-distance-left:0.0pt;mso-wrap-distance-top:0.0pt;mso-wrap-distance-right:0.0pt;mso-wrap-distance-bottom:0.0pt;" stroked="false">
                <v:path textboxrect="0,0,0,0"/>
                <v:imagedata r:id="rId15" o:title=""/>
              </v:shape>
            </w:pict>
          </mc:Fallback>
        </mc:AlternateContent>
      </w:r>
      <w:r/>
      <w:r/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/>
    </w:p>
    <w:p>
      <w:pPr>
        <w:pStyle w:val="766"/>
        <w:ind w:left="0" w:right="0" w:firstLine="0"/>
        <w:jc w:val="both"/>
        <w:spacing w:before="281" w:after="281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3. Analiza za svaku opštinu</w:t>
      </w:r>
      <w:r/>
    </w:p>
    <w:p>
      <w:pPr>
        <w:pStyle w:val="768"/>
        <w:ind w:left="0" w:right="0" w:firstLine="0"/>
        <w:jc w:val="both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A) Tutin</w:t>
      </w:r>
      <w:r/>
    </w:p>
    <w:p>
      <w:pPr>
        <w:pStyle w:val="942"/>
        <w:numPr>
          <w:ilvl w:val="0"/>
          <w:numId w:val="31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Visok stepen nezaposlenosti: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Tutin beleži najveći procenat nezaposlenosti među analiziranim opštinama – 24,56% ukupnog stanovništva i 65,95% u radnoj snazi (zaposleni + nezaposleni).</w:t>
      </w:r>
      <w:r/>
    </w:p>
    <w:p>
      <w:pPr>
        <w:pStyle w:val="942"/>
        <w:numPr>
          <w:ilvl w:val="0"/>
          <w:numId w:val="32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Trendovi stanovništva: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Broj stanovnika u Tutinu raste (sa 32.779 u 1981. na 33.053 u 2022), ali tržište rada nije uspelo da apsorbuje rastuću radnu snagu, što doprinosi visokoj nezaposlenosti.</w:t>
      </w:r>
      <w:r/>
    </w:p>
    <w:p>
      <w:pPr>
        <w:pStyle w:val="942"/>
        <w:numPr>
          <w:ilvl w:val="0"/>
          <w:numId w:val="33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Zaključak: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Tutin se suočava sa kritičnim izazovima u zapošljavanju i neophodna su značajna ulaganja u razvoj formalne ekonomije.</w:t>
      </w:r>
      <w:r/>
    </w:p>
    <w:p>
      <w:pPr>
        <w:pStyle w:val="768"/>
        <w:ind w:left="0" w:right="0" w:firstLine="0"/>
        <w:jc w:val="both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B) Sjenica</w:t>
      </w:r>
      <w:r/>
    </w:p>
    <w:p>
      <w:pPr>
        <w:pStyle w:val="942"/>
        <w:numPr>
          <w:ilvl w:val="0"/>
          <w:numId w:val="34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Umeren stepen nezaposlenosti: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Sjenica ima umeren nivo nezaposlenosti (14,21% ukupnog stanovništva i 41,01% u radnoj snazi), što je povoljnije od Tutina, ali i dalje zabrinjavajuće.</w:t>
      </w:r>
      <w:r/>
    </w:p>
    <w:p>
      <w:pPr>
        <w:pStyle w:val="942"/>
        <w:numPr>
          <w:ilvl w:val="0"/>
          <w:numId w:val="35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Trendovi stanovništva: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Broj stanovnika u Sjenici značajno je opao od 35.570 (1981) na 24.083 (2022), što smanjuje pritisak na tržište rada, ali i ukazuje na problem depopulacije.</w:t>
      </w:r>
      <w:r/>
    </w:p>
    <w:p>
      <w:pPr>
        <w:pStyle w:val="942"/>
        <w:numPr>
          <w:ilvl w:val="0"/>
          <w:numId w:val="36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Zaključak: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Sjenica ima potencijal za stabilizaciju tržišta rada, ali su potrebne mere za zadržavanje mladih i razvoj lokalne ekonomije.</w:t>
      </w:r>
      <w:r/>
    </w:p>
    <w:p>
      <w:pPr>
        <w:pStyle w:val="768"/>
        <w:ind w:left="0" w:right="0" w:firstLine="0"/>
        <w:jc w:val="both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C) Nova Varoš</w:t>
      </w:r>
      <w:r/>
    </w:p>
    <w:p>
      <w:pPr>
        <w:pStyle w:val="942"/>
        <w:numPr>
          <w:ilvl w:val="0"/>
          <w:numId w:val="37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Niski stepen nezaposlenosti: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Sa 8,71% nezaposlenih u odnosu na stanovništvo i 24,19% u radnoj snazi, Nova Varoš ima najpovoljnije pokazatelje među analiziranim opštinama.</w:t>
      </w:r>
      <w:r/>
    </w:p>
    <w:p>
      <w:pPr>
        <w:pStyle w:val="942"/>
        <w:numPr>
          <w:ilvl w:val="0"/>
          <w:numId w:val="38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Trendovi stanovništva: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Broj stanovnika u Novoj Varoši značajno je opao (sa 22.523 u 1981. na 13.507 u 2022), što ukazuje na izražene migracije i depopulaciju.</w:t>
      </w:r>
      <w:r/>
    </w:p>
    <w:p>
      <w:pPr>
        <w:pStyle w:val="942"/>
        <w:numPr>
          <w:ilvl w:val="0"/>
          <w:numId w:val="39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Zaključak: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Iako Nova Varoš beleži nizak nivo nezaposlenosti, potreban je fokus na demografskoj revitalizaciji kako bi se osigurao dugoročni razvoj.</w:t>
      </w:r>
      <w:r/>
    </w:p>
    <w:p>
      <w:pPr>
        <w:pStyle w:val="768"/>
        <w:ind w:left="0" w:right="0" w:firstLine="0"/>
        <w:jc w:val="both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D) Priboj</w:t>
      </w:r>
      <w:r/>
    </w:p>
    <w:p>
      <w:pPr>
        <w:pStyle w:val="942"/>
        <w:numPr>
          <w:ilvl w:val="0"/>
          <w:numId w:val="40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Umeren stepen nezaposlenosti: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Priboj beleži 12,43% nezaposlenih u odnosu na stanovništvo i 31,35% u radnoj snazi.</w:t>
      </w:r>
      <w:r/>
    </w:p>
    <w:p>
      <w:pPr>
        <w:pStyle w:val="942"/>
        <w:numPr>
          <w:ilvl w:val="0"/>
          <w:numId w:val="41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Trendovi stanovništva: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Broj stanovnika u Priboju opada (sa 26.147 u 1981. na 23.514 u 2022), što ukazuje na smanjenje prirodnog priraštaja i migracije.</w:t>
      </w:r>
      <w:r/>
    </w:p>
    <w:p>
      <w:pPr>
        <w:pStyle w:val="942"/>
        <w:numPr>
          <w:ilvl w:val="0"/>
          <w:numId w:val="42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Zaključak: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Priboj ima stabilno tržište rada, ali dodatna ulaganja u ekonomiju su potrebna kako bi se smanjio nivo nezaposlenosti.</w:t>
      </w:r>
      <w:r/>
    </w:p>
    <w:p>
      <w:pPr>
        <w:pStyle w:val="768"/>
        <w:ind w:left="0" w:right="0" w:firstLine="0"/>
        <w:jc w:val="both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E) Prijepolje</w:t>
      </w:r>
      <w:r/>
    </w:p>
    <w:p>
      <w:pPr>
        <w:pStyle w:val="942"/>
        <w:numPr>
          <w:ilvl w:val="0"/>
          <w:numId w:val="43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Srednji stepen nezaposlenosti: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Prijepolje beleži 10,62% nezaposlenih u odnosu na stanovništvo i 28,39% u radnoj snazi.</w:t>
      </w:r>
      <w:r/>
    </w:p>
    <w:p>
      <w:pPr>
        <w:pStyle w:val="942"/>
        <w:numPr>
          <w:ilvl w:val="0"/>
          <w:numId w:val="44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Trendovi stanovništva: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Broj stanovnika u Prijepolju opao je sa 38.925 (1981) na 32.214 (2022). Ovaj pad utiče na strukturu radne snage i na migracione tokove.</w:t>
      </w:r>
      <w:r/>
    </w:p>
    <w:p>
      <w:pPr>
        <w:pStyle w:val="942"/>
        <w:numPr>
          <w:ilvl w:val="0"/>
          <w:numId w:val="45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Zaključak: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Prijepolje ima potencijal za dodatni razvoj tržišta rada, ali su potrebne mere za zadržavanje radno sposobnog stanovništva.</w:t>
      </w:r>
      <w:r/>
    </w:p>
    <w:p>
      <w:pPr>
        <w:pStyle w:val="768"/>
        <w:ind w:left="0" w:right="0" w:firstLine="0"/>
        <w:jc w:val="both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F) Raška</w:t>
      </w:r>
      <w:r/>
    </w:p>
    <w:p>
      <w:pPr>
        <w:pStyle w:val="942"/>
        <w:numPr>
          <w:ilvl w:val="0"/>
          <w:numId w:val="46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Najniži stepen nezaposlenosti: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Sa 8,01% nezaposlenih u odnosu na stanovništvo i 19,49% u radnoj snazi, Raška beleži najstabilniju ekonomsku situaciju među analiziranim opštinama.</w:t>
      </w:r>
      <w:r/>
    </w:p>
    <w:p>
      <w:pPr>
        <w:pStyle w:val="942"/>
        <w:numPr>
          <w:ilvl w:val="0"/>
          <w:numId w:val="47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Trendovi stanovništva: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Broj stanovnika u Raški opao je sa 29.475 (1981) na 21.498 (2022), što ukazuje na migracije i demografske izazove.</w:t>
      </w:r>
      <w:r/>
    </w:p>
    <w:p>
      <w:pPr>
        <w:pStyle w:val="942"/>
        <w:numPr>
          <w:ilvl w:val="0"/>
          <w:numId w:val="48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Zaključak: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Raška ima stabilno tržište rada, ali je potrebno ulagati u demografsku revitalizaciju i povećanje broja radnih mesta.</w:t>
      </w:r>
      <w:r/>
    </w:p>
    <w:p>
      <w:pPr>
        <w:pStyle w:val="766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4. Opšti trendovi i izazovi</w:t>
      </w:r>
      <w:r/>
    </w:p>
    <w:p>
      <w:pPr>
        <w:pStyle w:val="942"/>
        <w:numPr>
          <w:ilvl w:val="0"/>
          <w:numId w:val="62"/>
        </w:numPr>
        <w:ind w:right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Visok stepen nezaposlenosti u Tutinu i Sjenici: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Tutin beleži najviši procenat nezaposlenosti, dok Sjenica ima umereni, ali i dalje visok nivo. Oba regiona zahtevaju hitne intervencije za podsticanje zapošljavanja.</w:t>
      </w:r>
      <w:r/>
    </w:p>
    <w:p>
      <w:pPr>
        <w:pStyle w:val="942"/>
        <w:numPr>
          <w:ilvl w:val="0"/>
          <w:numId w:val="62"/>
        </w:numPr>
        <w:ind w:right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Depopulacija i migracije: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Sve opštine beleže smanjenje broja stanovnika, što ukazuje na problem odliva radno sposobnog stanovništva i smanjenje prirodnog priraštaja.</w:t>
      </w:r>
      <w:r/>
    </w:p>
    <w:p>
      <w:pPr>
        <w:pStyle w:val="942"/>
        <w:numPr>
          <w:ilvl w:val="0"/>
          <w:numId w:val="62"/>
        </w:numPr>
        <w:ind w:right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Regionalne razlike: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Raška i Nova Varoš beleže najpovoljnije pokazatelje nezaposlenosti, dok Tutin i Sjenica imaju najviše izazova.</w:t>
      </w:r>
      <w:r/>
    </w:p>
    <w:p>
      <w:pPr>
        <w:pStyle w:val="766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5. Preporuke za unapređenje tržišta rada</w:t>
      </w:r>
      <w:r/>
    </w:p>
    <w:p>
      <w:pPr>
        <w:ind w:left="709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Razvoj lokalne ekonomije:</w:t>
      </w:r>
      <w:r/>
    </w:p>
    <w:p>
      <w:pPr>
        <w:pStyle w:val="942"/>
        <w:numPr>
          <w:ilvl w:val="0"/>
          <w:numId w:val="53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Podsticanje investicija u industriju, poljoprivredu i turizam.</w:t>
      </w:r>
      <w:r/>
    </w:p>
    <w:p>
      <w:pPr>
        <w:pStyle w:val="942"/>
        <w:numPr>
          <w:ilvl w:val="0"/>
          <w:numId w:val="54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Razvoj malih i srednjih preduzeća.</w:t>
      </w:r>
      <w:r/>
    </w:p>
    <w:p>
      <w:pPr>
        <w:ind w:left="709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Podrška zapošljavanju:</w:t>
      </w:r>
      <w:r/>
    </w:p>
    <w:p>
      <w:pPr>
        <w:pStyle w:val="942"/>
        <w:numPr>
          <w:ilvl w:val="0"/>
          <w:numId w:val="56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Obuke i programi za zapošljavanje mladih.</w:t>
      </w:r>
      <w:r/>
    </w:p>
    <w:p>
      <w:pPr>
        <w:pStyle w:val="942"/>
        <w:numPr>
          <w:ilvl w:val="0"/>
          <w:numId w:val="57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Subvencije za poslodavce koji otvaraju nova radna mesta.</w:t>
      </w:r>
      <w:r/>
    </w:p>
    <w:p>
      <w:pPr>
        <w:ind w:left="709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Demografske politike:</w:t>
      </w:r>
      <w:r/>
    </w:p>
    <w:p>
      <w:pPr>
        <w:pStyle w:val="942"/>
        <w:numPr>
          <w:ilvl w:val="0"/>
          <w:numId w:val="59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Mere za zadržavanje mladih i povratak radno sposobnih iz dijaspore.</w:t>
      </w:r>
      <w:r/>
    </w:p>
    <w:p>
      <w:pPr>
        <w:pStyle w:val="942"/>
        <w:numPr>
          <w:ilvl w:val="0"/>
          <w:numId w:val="60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Pružanje stambenih subvencija i olakšica za porodice.</w:t>
      </w:r>
      <w:r/>
    </w:p>
    <w:p>
      <w:pPr>
        <w:pStyle w:val="766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Zaključak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Tutin, Sjenica, Nova Varoš, Priboj, Prijepolje i Raška beleže značajne razlike u nivou nezaposlenosti i ekonomskim izazovima. Dok Tutin i Sjenica zahtevaju hitne intervencije za rešavanje visokog nivoa nezaposlenosti, Raška i Nova Varoš pokazuju stabilniju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ekonomsku situaciju, ali suočavaju se sa izazovima depopulacije. Cilj je sprovođenje lokalno prilagođenih mera za ravnomerniji razvoj i povećanje zaposlenosti.</w:t>
      </w:r>
      <w:r/>
    </w:p>
    <w:p>
      <w:pPr>
        <w:jc w:val="both"/>
      </w:pPr>
      <w:r/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992" w:right="850" w:bottom="1134" w:left="1701" w:header="425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Times New Roman">
    <w:panose1 w:val="020206030504050203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0"/>
      <w:jc w:val="right"/>
    </w:pPr>
    <w:fldSimple w:instr="PAGE \* MERGEFORMAT">
      <w:r>
        <w:t xml:space="preserve">1</w:t>
      </w:r>
    </w:fldSimple>
    <w:r/>
    <w:r/>
  </w:p>
  <w:p>
    <w:pPr>
      <w:pStyle w:val="790"/>
    </w:pP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8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759165" cy="176546"/>
              <wp:effectExtent l="0" t="0" r="0" b="0"/>
              <wp:docPr id="1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6478524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rcRect l="0" t="37655" r="0" b="39089"/>
                      <a:stretch/>
                    </pic:blipFill>
                    <pic:spPr bwMode="auto">
                      <a:xfrm flipH="0" flipV="0">
                        <a:off x="0" y="0"/>
                        <a:ext cx="759162" cy="17654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9.8pt;height:13.9pt;mso-wrap-distance-left:0.0pt;mso-wrap-distance-top:0.0pt;mso-wrap-distance-right:0.0pt;mso-wrap-distance-bottom:0.0pt;" stroked="false">
              <v:path textboxrect="0,0,0,0"/>
              <v:imagedata r:id="rId1" o:title=""/>
            </v:shape>
          </w:pict>
        </mc:Fallback>
      </mc:AlternateContent>
      <w:t xml:space="preserve">powered by </w:t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344574" cy="186575"/>
              <wp:effectExtent l="0" t="0" r="0" b="0"/>
              <wp:docPr id="2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07203525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2"/>
                      <a:srcRect l="17992" t="28202" r="17670" b="36962"/>
                      <a:stretch/>
                    </pic:blipFill>
                    <pic:spPr bwMode="auto">
                      <a:xfrm flipH="0" flipV="0">
                        <a:off x="0" y="0"/>
                        <a:ext cx="344574" cy="18657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27.1pt;height:14.7pt;mso-wrap-distance-left:0.0pt;mso-wrap-distance-top:0.0pt;mso-wrap-distance-right:0.0pt;mso-wrap-distance-bottom:0.0pt;" stroked="false">
              <v:path textboxrect="0,0,0,0"/>
              <v:imagedata r:id="rId2" o:title=""/>
            </v:shape>
          </w:pict>
        </mc:Fallback>
      </mc:AlternateContent>
    </w:r>
    <w:r/>
    <w:r/>
    <w:r/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2">
    <w:name w:val="Heading 1"/>
    <w:basedOn w:val="938"/>
    <w:next w:val="938"/>
    <w:link w:val="76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63">
    <w:name w:val="Heading 1 Char"/>
    <w:link w:val="762"/>
    <w:uiPriority w:val="9"/>
    <w:rPr>
      <w:rFonts w:ascii="Arial" w:hAnsi="Arial" w:eastAsia="Arial" w:cs="Arial"/>
      <w:sz w:val="40"/>
      <w:szCs w:val="40"/>
    </w:rPr>
  </w:style>
  <w:style w:type="paragraph" w:styleId="764">
    <w:name w:val="Heading 2"/>
    <w:basedOn w:val="938"/>
    <w:next w:val="938"/>
    <w:link w:val="76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65">
    <w:name w:val="Heading 2 Char"/>
    <w:link w:val="764"/>
    <w:uiPriority w:val="9"/>
    <w:rPr>
      <w:rFonts w:ascii="Arial" w:hAnsi="Arial" w:eastAsia="Arial" w:cs="Arial"/>
      <w:sz w:val="34"/>
    </w:rPr>
  </w:style>
  <w:style w:type="paragraph" w:styleId="766">
    <w:name w:val="Heading 3"/>
    <w:basedOn w:val="938"/>
    <w:next w:val="938"/>
    <w:link w:val="76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67">
    <w:name w:val="Heading 3 Char"/>
    <w:link w:val="766"/>
    <w:uiPriority w:val="9"/>
    <w:rPr>
      <w:rFonts w:ascii="Arial" w:hAnsi="Arial" w:eastAsia="Arial" w:cs="Arial"/>
      <w:sz w:val="30"/>
      <w:szCs w:val="30"/>
    </w:rPr>
  </w:style>
  <w:style w:type="paragraph" w:styleId="768">
    <w:name w:val="Heading 4"/>
    <w:basedOn w:val="938"/>
    <w:next w:val="938"/>
    <w:link w:val="76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9">
    <w:name w:val="Heading 4 Char"/>
    <w:link w:val="768"/>
    <w:uiPriority w:val="9"/>
    <w:rPr>
      <w:rFonts w:ascii="Arial" w:hAnsi="Arial" w:eastAsia="Arial" w:cs="Arial"/>
      <w:b/>
      <w:bCs/>
      <w:sz w:val="26"/>
      <w:szCs w:val="26"/>
    </w:rPr>
  </w:style>
  <w:style w:type="paragraph" w:styleId="770">
    <w:name w:val="Heading 5"/>
    <w:basedOn w:val="938"/>
    <w:next w:val="938"/>
    <w:link w:val="77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71">
    <w:name w:val="Heading 5 Char"/>
    <w:link w:val="770"/>
    <w:uiPriority w:val="9"/>
    <w:rPr>
      <w:rFonts w:ascii="Arial" w:hAnsi="Arial" w:eastAsia="Arial" w:cs="Arial"/>
      <w:b/>
      <w:bCs/>
      <w:sz w:val="24"/>
      <w:szCs w:val="24"/>
    </w:rPr>
  </w:style>
  <w:style w:type="paragraph" w:styleId="772">
    <w:name w:val="Heading 6"/>
    <w:basedOn w:val="938"/>
    <w:next w:val="938"/>
    <w:link w:val="77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73">
    <w:name w:val="Heading 6 Char"/>
    <w:link w:val="772"/>
    <w:uiPriority w:val="9"/>
    <w:rPr>
      <w:rFonts w:ascii="Arial" w:hAnsi="Arial" w:eastAsia="Arial" w:cs="Arial"/>
      <w:b/>
      <w:bCs/>
      <w:sz w:val="22"/>
      <w:szCs w:val="22"/>
    </w:rPr>
  </w:style>
  <w:style w:type="paragraph" w:styleId="774">
    <w:name w:val="Heading 7"/>
    <w:basedOn w:val="938"/>
    <w:next w:val="938"/>
    <w:link w:val="77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5">
    <w:name w:val="Heading 7 Char"/>
    <w:link w:val="77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76">
    <w:name w:val="Heading 8"/>
    <w:basedOn w:val="938"/>
    <w:next w:val="938"/>
    <w:link w:val="77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7">
    <w:name w:val="Heading 8 Char"/>
    <w:link w:val="776"/>
    <w:uiPriority w:val="9"/>
    <w:rPr>
      <w:rFonts w:ascii="Arial" w:hAnsi="Arial" w:eastAsia="Arial" w:cs="Arial"/>
      <w:i/>
      <w:iCs/>
      <w:sz w:val="22"/>
      <w:szCs w:val="22"/>
    </w:rPr>
  </w:style>
  <w:style w:type="paragraph" w:styleId="778">
    <w:name w:val="Heading 9"/>
    <w:basedOn w:val="938"/>
    <w:next w:val="938"/>
    <w:link w:val="77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9">
    <w:name w:val="Heading 9 Char"/>
    <w:link w:val="778"/>
    <w:uiPriority w:val="9"/>
    <w:rPr>
      <w:rFonts w:ascii="Arial" w:hAnsi="Arial" w:eastAsia="Arial" w:cs="Arial"/>
      <w:i/>
      <w:iCs/>
      <w:sz w:val="21"/>
      <w:szCs w:val="21"/>
    </w:rPr>
  </w:style>
  <w:style w:type="paragraph" w:styleId="780">
    <w:name w:val="Title"/>
    <w:basedOn w:val="938"/>
    <w:next w:val="938"/>
    <w:link w:val="78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1">
    <w:name w:val="Title Char"/>
    <w:link w:val="780"/>
    <w:uiPriority w:val="10"/>
    <w:rPr>
      <w:sz w:val="48"/>
      <w:szCs w:val="48"/>
    </w:rPr>
  </w:style>
  <w:style w:type="paragraph" w:styleId="782">
    <w:name w:val="Subtitle"/>
    <w:basedOn w:val="938"/>
    <w:next w:val="938"/>
    <w:link w:val="783"/>
    <w:uiPriority w:val="11"/>
    <w:qFormat/>
    <w:pPr>
      <w:spacing w:before="200" w:after="200"/>
    </w:pPr>
    <w:rPr>
      <w:sz w:val="24"/>
      <w:szCs w:val="24"/>
    </w:rPr>
  </w:style>
  <w:style w:type="character" w:styleId="783">
    <w:name w:val="Subtitle Char"/>
    <w:link w:val="782"/>
    <w:uiPriority w:val="11"/>
    <w:rPr>
      <w:sz w:val="24"/>
      <w:szCs w:val="24"/>
    </w:rPr>
  </w:style>
  <w:style w:type="paragraph" w:styleId="784">
    <w:name w:val="Quote"/>
    <w:basedOn w:val="938"/>
    <w:next w:val="938"/>
    <w:link w:val="785"/>
    <w:uiPriority w:val="29"/>
    <w:qFormat/>
    <w:pPr>
      <w:ind w:left="720" w:right="720"/>
    </w:pPr>
    <w:rPr>
      <w:i/>
    </w:rPr>
  </w:style>
  <w:style w:type="character" w:styleId="785">
    <w:name w:val="Quote Char"/>
    <w:link w:val="784"/>
    <w:uiPriority w:val="29"/>
    <w:rPr>
      <w:i/>
    </w:rPr>
  </w:style>
  <w:style w:type="paragraph" w:styleId="786">
    <w:name w:val="Intense Quote"/>
    <w:basedOn w:val="938"/>
    <w:next w:val="938"/>
    <w:link w:val="78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7">
    <w:name w:val="Intense Quote Char"/>
    <w:link w:val="786"/>
    <w:uiPriority w:val="30"/>
    <w:rPr>
      <w:i/>
    </w:rPr>
  </w:style>
  <w:style w:type="paragraph" w:styleId="788">
    <w:name w:val="Header"/>
    <w:basedOn w:val="938"/>
    <w:link w:val="7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9">
    <w:name w:val="Header Char"/>
    <w:link w:val="788"/>
    <w:uiPriority w:val="99"/>
  </w:style>
  <w:style w:type="paragraph" w:styleId="790">
    <w:name w:val="Footer"/>
    <w:basedOn w:val="938"/>
    <w:link w:val="7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1">
    <w:name w:val="Footer Char"/>
    <w:link w:val="790"/>
    <w:uiPriority w:val="99"/>
  </w:style>
  <w:style w:type="paragraph" w:styleId="792">
    <w:name w:val="Caption"/>
    <w:basedOn w:val="938"/>
    <w:next w:val="93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3">
    <w:name w:val="Caption Char"/>
    <w:basedOn w:val="792"/>
    <w:link w:val="790"/>
    <w:uiPriority w:val="99"/>
  </w:style>
  <w:style w:type="table" w:styleId="794">
    <w:name w:val="Table Grid"/>
    <w:basedOn w:val="93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5">
    <w:name w:val="Table Grid Light"/>
    <w:basedOn w:val="9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6">
    <w:name w:val="Plain Table 1"/>
    <w:basedOn w:val="9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7">
    <w:name w:val="Plain Table 2"/>
    <w:basedOn w:val="93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8">
    <w:name w:val="Plain Table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9">
    <w:name w:val="Plain Table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Plain Table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1">
    <w:name w:val="Grid Table 1 Light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Grid Table 1 Light - Accent 1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Grid Table 1 Light - Accent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Grid Table 1 Light - Accent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Grid Table 1 Light - Accent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Grid Table 1 Light - Accent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Grid Table 1 Light - Accent 6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Grid Table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2 - Accent 1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2 - Accent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2 - Accent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2 - Accent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2 - Accent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2 - Accent 6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3 - Accent 1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3 - Accent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3 - Accent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3 - Accent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3 - Accent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3 - Accent 6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4"/>
    <w:basedOn w:val="9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3">
    <w:name w:val="Grid Table 4 - Accent 1"/>
    <w:basedOn w:val="9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24">
    <w:name w:val="Grid Table 4 - Accent 2"/>
    <w:basedOn w:val="9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25">
    <w:name w:val="Grid Table 4 - Accent 3"/>
    <w:basedOn w:val="9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26">
    <w:name w:val="Grid Table 4 - Accent 4"/>
    <w:basedOn w:val="9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7">
    <w:name w:val="Grid Table 4 - Accent 5"/>
    <w:basedOn w:val="9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8">
    <w:name w:val="Grid Table 4 - Accent 6"/>
    <w:basedOn w:val="9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9">
    <w:name w:val="Grid Table 5 Dark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0">
    <w:name w:val="Grid Table 5 Dark- Accent 1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1">
    <w:name w:val="Grid Table 5 Dark - Accent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32">
    <w:name w:val="Grid Table 5 Dark - Accent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33">
    <w:name w:val="Grid Table 5 Dark- Accent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34">
    <w:name w:val="Grid Table 5 Dark - Accent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35">
    <w:name w:val="Grid Table 5 Dark - Accent 6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36">
    <w:name w:val="Grid Table 6 Colorful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37">
    <w:name w:val="Grid Table 6 Colorful - Accent 1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38">
    <w:name w:val="Grid Table 6 Colorful - Accent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9">
    <w:name w:val="Grid Table 6 Colorful - Accent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0">
    <w:name w:val="Grid Table 6 Colorful - Accent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1">
    <w:name w:val="Grid Table 6 Colorful - Accent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2">
    <w:name w:val="Grid Table 6 Colorful - Accent 6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3">
    <w:name w:val="Grid Table 7 Colorful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Grid Table 7 Colorful - Accent 1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Grid Table 7 Colorful - Accent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Grid Table 7 Colorful - Accent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Grid Table 7 Colorful - Accent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Grid Table 7 Colorful - Accent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7 Colorful - Accent 6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List Table 1 Light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List Table 1 Light - Accent 1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List Table 1 Light - Accent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List Table 1 Light - Accent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List Table 1 Light - Accent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List Table 1 Light - Accent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List Table 1 Light - Accent 6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58">
    <w:name w:val="List Table 2 - Accent 1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59">
    <w:name w:val="List Table 2 - Accent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0">
    <w:name w:val="List Table 2 - Accent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1">
    <w:name w:val="List Table 2 - Accent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2">
    <w:name w:val="List Table 2 - Accent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63">
    <w:name w:val="List Table 2 - Accent 6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64">
    <w:name w:val="List Table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3 - Accent 1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3 - Accent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3 - Accent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3 - Accent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3 - Accent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3 - Accent 6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4 - Accent 1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4 - Accent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4 - Accent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4 - Accent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4 - Accent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4 - Accent 6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5 Dark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9">
    <w:name w:val="List Table 5 Dark - Accent 1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0">
    <w:name w:val="List Table 5 Dark - Accent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1">
    <w:name w:val="List Table 5 Dark - Accent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2">
    <w:name w:val="List Table 5 Dark - Accent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3">
    <w:name w:val="List Table 5 Dark - Accent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4">
    <w:name w:val="List Table 5 Dark - Accent 6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5">
    <w:name w:val="List Table 6 Colorful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86">
    <w:name w:val="List Table 6 Colorful - Accent 1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87">
    <w:name w:val="List Table 6 Colorful - Accent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88">
    <w:name w:val="List Table 6 Colorful - Accent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89">
    <w:name w:val="List Table 6 Colorful - Accent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0">
    <w:name w:val="List Table 6 Colorful - Accent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1">
    <w:name w:val="List Table 6 Colorful - Accent 6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2">
    <w:name w:val="List Table 7 Colorful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3">
    <w:name w:val="List Table 7 Colorful - Accent 1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94">
    <w:name w:val="List Table 7 Colorful - Accent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95">
    <w:name w:val="List Table 7 Colorful - Accent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96">
    <w:name w:val="List Table 7 Colorful - Accent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97">
    <w:name w:val="List Table 7 Colorful - Accent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98">
    <w:name w:val="List Table 7 Colorful - Accent 6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99">
    <w:name w:val="Lined - Accent"/>
    <w:basedOn w:val="9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0">
    <w:name w:val="Lined - Accent 1"/>
    <w:basedOn w:val="9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01">
    <w:name w:val="Lined - Accent 2"/>
    <w:basedOn w:val="9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02">
    <w:name w:val="Lined - Accent 3"/>
    <w:basedOn w:val="9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03">
    <w:name w:val="Lined - Accent 4"/>
    <w:basedOn w:val="9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04">
    <w:name w:val="Lined - Accent 5"/>
    <w:basedOn w:val="9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05">
    <w:name w:val="Lined - Accent 6"/>
    <w:basedOn w:val="9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06">
    <w:name w:val="Bordered &amp; Lined - Accent"/>
    <w:basedOn w:val="9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7">
    <w:name w:val="Bordered &amp; Lined - Accent 1"/>
    <w:basedOn w:val="9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08">
    <w:name w:val="Bordered &amp; Lined - Accent 2"/>
    <w:basedOn w:val="9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09">
    <w:name w:val="Bordered &amp; Lined - Accent 3"/>
    <w:basedOn w:val="9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10">
    <w:name w:val="Bordered &amp; Lined - Accent 4"/>
    <w:basedOn w:val="9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11">
    <w:name w:val="Bordered &amp; Lined - Accent 5"/>
    <w:basedOn w:val="9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12">
    <w:name w:val="Bordered &amp; Lined - Accent 6"/>
    <w:basedOn w:val="9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13">
    <w:name w:val="Bordered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14">
    <w:name w:val="Bordered - Accent 1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15">
    <w:name w:val="Bordered - Accent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16">
    <w:name w:val="Bordered - Accent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17">
    <w:name w:val="Bordered - Accent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18">
    <w:name w:val="Bordered - Accent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19">
    <w:name w:val="Bordered - Accent 6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20">
    <w:name w:val="Hyperlink"/>
    <w:uiPriority w:val="99"/>
    <w:unhideWhenUsed/>
    <w:rPr>
      <w:color w:val="0000ff" w:themeColor="hyperlink"/>
      <w:u w:val="single"/>
    </w:rPr>
  </w:style>
  <w:style w:type="paragraph" w:styleId="921">
    <w:name w:val="footnote text"/>
    <w:basedOn w:val="938"/>
    <w:link w:val="922"/>
    <w:uiPriority w:val="99"/>
    <w:semiHidden/>
    <w:unhideWhenUsed/>
    <w:pPr>
      <w:spacing w:after="40" w:line="240" w:lineRule="auto"/>
    </w:pPr>
    <w:rPr>
      <w:sz w:val="18"/>
    </w:rPr>
  </w:style>
  <w:style w:type="character" w:styleId="922">
    <w:name w:val="Footnote Text Char"/>
    <w:link w:val="921"/>
    <w:uiPriority w:val="99"/>
    <w:rPr>
      <w:sz w:val="18"/>
    </w:rPr>
  </w:style>
  <w:style w:type="character" w:styleId="923">
    <w:name w:val="footnote reference"/>
    <w:uiPriority w:val="99"/>
    <w:unhideWhenUsed/>
    <w:rPr>
      <w:vertAlign w:val="superscript"/>
    </w:rPr>
  </w:style>
  <w:style w:type="paragraph" w:styleId="924">
    <w:name w:val="endnote text"/>
    <w:basedOn w:val="938"/>
    <w:link w:val="925"/>
    <w:uiPriority w:val="99"/>
    <w:semiHidden/>
    <w:unhideWhenUsed/>
    <w:pPr>
      <w:spacing w:after="0" w:line="240" w:lineRule="auto"/>
    </w:pPr>
    <w:rPr>
      <w:sz w:val="20"/>
    </w:rPr>
  </w:style>
  <w:style w:type="character" w:styleId="925">
    <w:name w:val="Endnote Text Char"/>
    <w:link w:val="924"/>
    <w:uiPriority w:val="99"/>
    <w:rPr>
      <w:sz w:val="20"/>
    </w:rPr>
  </w:style>
  <w:style w:type="character" w:styleId="926">
    <w:name w:val="endnote reference"/>
    <w:uiPriority w:val="99"/>
    <w:semiHidden/>
    <w:unhideWhenUsed/>
    <w:rPr>
      <w:vertAlign w:val="superscript"/>
    </w:rPr>
  </w:style>
  <w:style w:type="paragraph" w:styleId="927">
    <w:name w:val="toc 1"/>
    <w:basedOn w:val="938"/>
    <w:next w:val="938"/>
    <w:uiPriority w:val="39"/>
    <w:unhideWhenUsed/>
    <w:pPr>
      <w:ind w:left="0" w:right="0" w:firstLine="0"/>
      <w:spacing w:after="57"/>
    </w:pPr>
  </w:style>
  <w:style w:type="paragraph" w:styleId="928">
    <w:name w:val="toc 2"/>
    <w:basedOn w:val="938"/>
    <w:next w:val="938"/>
    <w:uiPriority w:val="39"/>
    <w:unhideWhenUsed/>
    <w:pPr>
      <w:ind w:left="283" w:right="0" w:firstLine="0"/>
      <w:spacing w:after="57"/>
    </w:pPr>
  </w:style>
  <w:style w:type="paragraph" w:styleId="929">
    <w:name w:val="toc 3"/>
    <w:basedOn w:val="938"/>
    <w:next w:val="938"/>
    <w:uiPriority w:val="39"/>
    <w:unhideWhenUsed/>
    <w:pPr>
      <w:ind w:left="567" w:right="0" w:firstLine="0"/>
      <w:spacing w:after="57"/>
    </w:pPr>
  </w:style>
  <w:style w:type="paragraph" w:styleId="930">
    <w:name w:val="toc 4"/>
    <w:basedOn w:val="938"/>
    <w:next w:val="938"/>
    <w:uiPriority w:val="39"/>
    <w:unhideWhenUsed/>
    <w:pPr>
      <w:ind w:left="850" w:right="0" w:firstLine="0"/>
      <w:spacing w:after="57"/>
    </w:pPr>
  </w:style>
  <w:style w:type="paragraph" w:styleId="931">
    <w:name w:val="toc 5"/>
    <w:basedOn w:val="938"/>
    <w:next w:val="938"/>
    <w:uiPriority w:val="39"/>
    <w:unhideWhenUsed/>
    <w:pPr>
      <w:ind w:left="1134" w:right="0" w:firstLine="0"/>
      <w:spacing w:after="57"/>
    </w:pPr>
  </w:style>
  <w:style w:type="paragraph" w:styleId="932">
    <w:name w:val="toc 6"/>
    <w:basedOn w:val="938"/>
    <w:next w:val="938"/>
    <w:uiPriority w:val="39"/>
    <w:unhideWhenUsed/>
    <w:pPr>
      <w:ind w:left="1417" w:right="0" w:firstLine="0"/>
      <w:spacing w:after="57"/>
    </w:pPr>
  </w:style>
  <w:style w:type="paragraph" w:styleId="933">
    <w:name w:val="toc 7"/>
    <w:basedOn w:val="938"/>
    <w:next w:val="938"/>
    <w:uiPriority w:val="39"/>
    <w:unhideWhenUsed/>
    <w:pPr>
      <w:ind w:left="1701" w:right="0" w:firstLine="0"/>
      <w:spacing w:after="57"/>
    </w:pPr>
  </w:style>
  <w:style w:type="paragraph" w:styleId="934">
    <w:name w:val="toc 8"/>
    <w:basedOn w:val="938"/>
    <w:next w:val="938"/>
    <w:uiPriority w:val="39"/>
    <w:unhideWhenUsed/>
    <w:pPr>
      <w:ind w:left="1984" w:right="0" w:firstLine="0"/>
      <w:spacing w:after="57"/>
    </w:pPr>
  </w:style>
  <w:style w:type="paragraph" w:styleId="935">
    <w:name w:val="toc 9"/>
    <w:basedOn w:val="938"/>
    <w:next w:val="938"/>
    <w:uiPriority w:val="39"/>
    <w:unhideWhenUsed/>
    <w:pPr>
      <w:ind w:left="2268" w:right="0" w:firstLine="0"/>
      <w:spacing w:after="57"/>
    </w:pPr>
  </w:style>
  <w:style w:type="paragraph" w:styleId="936">
    <w:name w:val="TOC Heading"/>
    <w:uiPriority w:val="39"/>
    <w:unhideWhenUsed/>
  </w:style>
  <w:style w:type="paragraph" w:styleId="937">
    <w:name w:val="table of figures"/>
    <w:basedOn w:val="938"/>
    <w:next w:val="938"/>
    <w:uiPriority w:val="99"/>
    <w:unhideWhenUsed/>
    <w:pPr>
      <w:spacing w:after="0" w:afterAutospacing="0"/>
    </w:pPr>
  </w:style>
  <w:style w:type="paragraph" w:styleId="938" w:default="1">
    <w:name w:val="Normal"/>
    <w:qFormat/>
  </w:style>
  <w:style w:type="table" w:styleId="93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40" w:default="1">
    <w:name w:val="No List"/>
    <w:uiPriority w:val="99"/>
    <w:semiHidden/>
    <w:unhideWhenUsed/>
  </w:style>
  <w:style w:type="paragraph" w:styleId="941">
    <w:name w:val="No Spacing"/>
    <w:basedOn w:val="938"/>
    <w:uiPriority w:val="1"/>
    <w:qFormat/>
    <w:pPr>
      <w:spacing w:after="0" w:line="240" w:lineRule="auto"/>
    </w:pPr>
  </w:style>
  <w:style w:type="paragraph" w:styleId="942">
    <w:name w:val="List Paragraph"/>
    <w:basedOn w:val="938"/>
    <w:uiPriority w:val="34"/>
    <w:qFormat/>
    <w:pPr>
      <w:contextualSpacing/>
      <w:ind w:left="720"/>
    </w:pPr>
  </w:style>
  <w:style w:type="character" w:styleId="943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ONLYOFFICE/7.3.0.184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2025-01-08T10:45:58Z</dcterms:modified>
</cp:coreProperties>
</file>